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6997" w14:textId="77777777" w:rsidR="00975C29" w:rsidRDefault="00975C29">
      <w:pPr>
        <w:kinsoku w:val="0"/>
        <w:overflowPunct w:val="0"/>
        <w:autoSpaceDE/>
        <w:autoSpaceDN/>
        <w:adjustRightInd/>
        <w:spacing w:before="4" w:line="281" w:lineRule="exact"/>
        <w:jc w:val="center"/>
        <w:textAlignment w:val="baseline"/>
        <w:rPr>
          <w:rFonts w:ascii="Tahoma" w:hAnsi="Tahoma" w:cs="Tahoma"/>
          <w:b/>
          <w:bCs/>
          <w:spacing w:val="1"/>
          <w:sz w:val="22"/>
          <w:szCs w:val="22"/>
        </w:rPr>
      </w:pPr>
      <w:r>
        <w:rPr>
          <w:rFonts w:ascii="Tahoma" w:hAnsi="Tahoma" w:cs="Tahoma"/>
          <w:b/>
          <w:bCs/>
          <w:spacing w:val="1"/>
          <w:sz w:val="22"/>
          <w:szCs w:val="22"/>
        </w:rPr>
        <w:t>Temporary Interest Rate Buydown Agreement</w:t>
      </w:r>
    </w:p>
    <w:p w14:paraId="05792154" w14:textId="298CBC0E" w:rsidR="00CA2A52" w:rsidRDefault="00CA2A52">
      <w:pPr>
        <w:kinsoku w:val="0"/>
        <w:overflowPunct w:val="0"/>
        <w:autoSpaceDE/>
        <w:autoSpaceDN/>
        <w:adjustRightInd/>
        <w:spacing w:before="282" w:line="206" w:lineRule="exact"/>
        <w:textAlignment w:val="baseline"/>
        <w:rPr>
          <w:rFonts w:ascii="Tahoma" w:hAnsi="Tahoma" w:cs="Tahoma"/>
          <w:spacing w:val="2"/>
          <w:sz w:val="17"/>
          <w:szCs w:val="17"/>
        </w:rPr>
      </w:pPr>
      <w:r>
        <w:rPr>
          <w:rFonts w:ascii="Tahoma" w:hAnsi="Tahoma" w:cs="Tahoma"/>
          <w:spacing w:val="2"/>
          <w:sz w:val="17"/>
          <w:szCs w:val="17"/>
        </w:rPr>
        <w:t>__________________________________________________________________________________________________________</w:t>
      </w:r>
    </w:p>
    <w:p w14:paraId="131FB994" w14:textId="545CC186" w:rsidR="00975C29" w:rsidRDefault="00975C29">
      <w:pPr>
        <w:kinsoku w:val="0"/>
        <w:overflowPunct w:val="0"/>
        <w:autoSpaceDE/>
        <w:autoSpaceDN/>
        <w:adjustRightInd/>
        <w:spacing w:before="282" w:line="206" w:lineRule="exact"/>
        <w:textAlignment w:val="baseline"/>
        <w:rPr>
          <w:rFonts w:ascii="Tahoma" w:hAnsi="Tahoma" w:cs="Tahoma"/>
          <w:spacing w:val="2"/>
          <w:sz w:val="17"/>
          <w:szCs w:val="17"/>
        </w:rPr>
      </w:pPr>
      <w:r>
        <w:rPr>
          <w:noProof/>
        </w:rPr>
        <w:pict w14:anchorId="4291E63E">
          <v:line id="_x0000_s1026" style="position:absolute;z-index:251658240;mso-wrap-distance-left:0;mso-wrap-distance-right:0;mso-position-horizontal-relative:page;mso-position-vertical-relative:page" from="55.85pt,88.6pt" to="111.3pt,88.6pt" o:allowincell="f" strokeweight=".95pt">
            <w10:wrap type="square" anchorx="page" anchory="page"/>
          </v:line>
        </w:pict>
      </w:r>
      <w:r>
        <w:rPr>
          <w:rFonts w:ascii="Tahoma" w:hAnsi="Tahoma" w:cs="Tahoma"/>
          <w:spacing w:val="2"/>
          <w:sz w:val="17"/>
          <w:szCs w:val="17"/>
        </w:rPr>
        <w:t>This Agreement is by and between:</w:t>
      </w:r>
    </w:p>
    <w:p w14:paraId="431F2B39" w14:textId="6C6B5388" w:rsidR="00975C29" w:rsidRDefault="00975C29">
      <w:pPr>
        <w:kinsoku w:val="0"/>
        <w:overflowPunct w:val="0"/>
        <w:autoSpaceDE/>
        <w:autoSpaceDN/>
        <w:adjustRightInd/>
        <w:spacing w:before="2" w:line="351" w:lineRule="exact"/>
        <w:textAlignment w:val="baseline"/>
        <w:rPr>
          <w:rFonts w:ascii="Tahoma" w:hAnsi="Tahoma" w:cs="Tahoma"/>
          <w:sz w:val="17"/>
          <w:szCs w:val="17"/>
        </w:rPr>
      </w:pPr>
      <w:r>
        <w:rPr>
          <w:rFonts w:ascii="Tahoma" w:hAnsi="Tahoma" w:cs="Tahoma"/>
          <w:sz w:val="17"/>
          <w:szCs w:val="17"/>
        </w:rPr>
        <w:t xml:space="preserve">Provider of Funds: </w:t>
      </w:r>
      <w:r w:rsidR="00CA2A52">
        <w:rPr>
          <w:rFonts w:ascii="Tahoma" w:hAnsi="Tahoma" w:cs="Tahoma"/>
          <w:sz w:val="17"/>
          <w:szCs w:val="17"/>
        </w:rPr>
        <w:t xml:space="preserve">(Who financed Buydown) </w:t>
      </w:r>
      <w:r>
        <w:rPr>
          <w:rFonts w:ascii="Tahoma" w:hAnsi="Tahoma" w:cs="Tahoma"/>
          <w:sz w:val="17"/>
          <w:szCs w:val="17"/>
        </w:rPr>
        <w:br/>
        <w:t xml:space="preserve">Borrower(s): </w:t>
      </w:r>
      <w:r>
        <w:rPr>
          <w:rFonts w:ascii="Tahoma" w:hAnsi="Tahoma" w:cs="Tahoma"/>
          <w:sz w:val="17"/>
          <w:szCs w:val="17"/>
        </w:rPr>
        <w:br/>
        <w:t xml:space="preserve">Lender: </w:t>
      </w:r>
    </w:p>
    <w:p w14:paraId="6C7068B0" w14:textId="30A41E57" w:rsidR="00CA2A52" w:rsidRDefault="00CA2A52">
      <w:pPr>
        <w:kinsoku w:val="0"/>
        <w:overflowPunct w:val="0"/>
        <w:autoSpaceDE/>
        <w:autoSpaceDN/>
        <w:adjustRightInd/>
        <w:spacing w:before="2" w:line="351" w:lineRule="exact"/>
        <w:textAlignment w:val="baseline"/>
        <w:rPr>
          <w:rFonts w:ascii="Tahoma" w:hAnsi="Tahoma" w:cs="Tahoma"/>
          <w:sz w:val="17"/>
          <w:szCs w:val="17"/>
        </w:rPr>
      </w:pPr>
      <w:r>
        <w:rPr>
          <w:rFonts w:ascii="Tahoma" w:hAnsi="Tahoma" w:cs="Tahoma"/>
          <w:sz w:val="17"/>
          <w:szCs w:val="17"/>
        </w:rPr>
        <w:t>Buydown Type: 2-1 or 1-0</w:t>
      </w:r>
    </w:p>
    <w:p w14:paraId="1DC9F5FD" w14:textId="3F62444C" w:rsidR="00975C29" w:rsidRDefault="00975C29">
      <w:pPr>
        <w:kinsoku w:val="0"/>
        <w:overflowPunct w:val="0"/>
        <w:autoSpaceDE/>
        <w:autoSpaceDN/>
        <w:adjustRightInd/>
        <w:spacing w:before="129" w:line="233" w:lineRule="exact"/>
        <w:ind w:left="720" w:right="144" w:hanging="360"/>
        <w:textAlignment w:val="baseline"/>
        <w:rPr>
          <w:rFonts w:ascii="Tahoma" w:hAnsi="Tahoma" w:cs="Tahoma"/>
          <w:sz w:val="17"/>
          <w:szCs w:val="17"/>
        </w:rPr>
      </w:pPr>
      <w:r>
        <w:rPr>
          <w:rFonts w:ascii="Tahoma" w:hAnsi="Tahoma" w:cs="Tahoma"/>
          <w:sz w:val="17"/>
          <w:szCs w:val="17"/>
        </w:rPr>
        <w:t xml:space="preserve">1. The Borrower has obtained a mortgage loan from the Lender (the "Loan"), evidenced by a note (the "Note") and secured by a mortgage or deed of trust (the "Security Instrument" on real property known as </w:t>
      </w:r>
      <w:r w:rsidR="00CA2A52">
        <w:rPr>
          <w:rFonts w:ascii="Tahoma" w:hAnsi="Tahoma" w:cs="Tahoma"/>
          <w:sz w:val="17"/>
          <w:szCs w:val="17"/>
        </w:rPr>
        <w:t>___________</w:t>
      </w:r>
      <w:r>
        <w:rPr>
          <w:rFonts w:ascii="Tahoma" w:hAnsi="Tahoma" w:cs="Tahoma"/>
          <w:sz w:val="17"/>
          <w:szCs w:val="17"/>
        </w:rPr>
        <w:t xml:space="preserve"> (Property Address)</w:t>
      </w:r>
    </w:p>
    <w:p w14:paraId="67EE9AF0" w14:textId="77777777" w:rsidR="00975C29" w:rsidRDefault="00975C29">
      <w:pPr>
        <w:kinsoku w:val="0"/>
        <w:overflowPunct w:val="0"/>
        <w:autoSpaceDE/>
        <w:autoSpaceDN/>
        <w:adjustRightInd/>
        <w:spacing w:before="238" w:line="233" w:lineRule="exact"/>
        <w:ind w:left="720"/>
        <w:textAlignment w:val="baseline"/>
        <w:rPr>
          <w:rFonts w:ascii="Tahoma" w:hAnsi="Tahoma" w:cs="Tahoma"/>
          <w:sz w:val="17"/>
          <w:szCs w:val="17"/>
        </w:rPr>
      </w:pPr>
      <w:r>
        <w:rPr>
          <w:rFonts w:ascii="Tahoma" w:hAnsi="Tahoma" w:cs="Tahoma"/>
          <w:sz w:val="17"/>
          <w:szCs w:val="17"/>
        </w:rPr>
        <w:t>The Provider of Funds has agreed to contribute funds, to be held by the lender or its assigns, in order that the Borrower may make reduced monthly payments on the Loan for a limited period of time. By virtue of monthly payments from the funds so held by the lender (the "Funds Payments"), this Agreement provides for such reduced monthly payments by the Borrower for the period of time described in Section 3, below (the "Buydown Period").</w:t>
      </w:r>
    </w:p>
    <w:p w14:paraId="47BAD396" w14:textId="74E1EF6B" w:rsidR="00975C29" w:rsidRDefault="00975C29">
      <w:pPr>
        <w:numPr>
          <w:ilvl w:val="0"/>
          <w:numId w:val="1"/>
        </w:numPr>
        <w:kinsoku w:val="0"/>
        <w:overflowPunct w:val="0"/>
        <w:autoSpaceDE/>
        <w:autoSpaceDN/>
        <w:adjustRightInd/>
        <w:spacing w:before="235" w:line="228" w:lineRule="exact"/>
        <w:ind w:right="216"/>
        <w:textAlignment w:val="baseline"/>
        <w:rPr>
          <w:rFonts w:ascii="Tahoma" w:hAnsi="Tahoma" w:cs="Tahoma"/>
          <w:sz w:val="17"/>
          <w:szCs w:val="17"/>
        </w:rPr>
      </w:pPr>
      <w:r>
        <w:rPr>
          <w:rFonts w:ascii="Tahoma" w:hAnsi="Tahoma" w:cs="Tahoma"/>
          <w:sz w:val="17"/>
          <w:szCs w:val="17"/>
        </w:rPr>
        <w:t xml:space="preserve">The Provider of Funds has furnished $ </w:t>
      </w:r>
      <w:r w:rsidR="008138A5">
        <w:rPr>
          <w:rFonts w:ascii="Tahoma" w:hAnsi="Tahoma" w:cs="Tahoma"/>
          <w:sz w:val="17"/>
          <w:szCs w:val="17"/>
        </w:rPr>
        <w:t xml:space="preserve">            </w:t>
      </w:r>
      <w:proofErr w:type="gramStart"/>
      <w:r w:rsidR="008138A5">
        <w:rPr>
          <w:rFonts w:ascii="Tahoma" w:hAnsi="Tahoma" w:cs="Tahoma"/>
          <w:sz w:val="17"/>
          <w:szCs w:val="17"/>
        </w:rPr>
        <w:t xml:space="preserve">  </w:t>
      </w:r>
      <w:r w:rsidR="00CA2A52">
        <w:rPr>
          <w:rFonts w:ascii="Tahoma" w:hAnsi="Tahoma" w:cs="Tahoma"/>
          <w:sz w:val="17"/>
          <w:szCs w:val="17"/>
        </w:rPr>
        <w:t xml:space="preserve"> </w:t>
      </w:r>
      <w:r>
        <w:rPr>
          <w:rFonts w:ascii="Tahoma" w:hAnsi="Tahoma" w:cs="Tahoma"/>
          <w:sz w:val="17"/>
          <w:szCs w:val="17"/>
        </w:rPr>
        <w:t>(</w:t>
      </w:r>
      <w:proofErr w:type="gramEnd"/>
      <w:r>
        <w:rPr>
          <w:rFonts w:ascii="Tahoma" w:hAnsi="Tahoma" w:cs="Tahoma"/>
          <w:sz w:val="17"/>
          <w:szCs w:val="17"/>
        </w:rPr>
        <w:t>the "Buydown Funds") to the Lender to be held by the Lender or its assigns in accordance with this Agreement. The Lender or its assigns shall apply the Funds Payments to the payments due under the Note.</w:t>
      </w:r>
    </w:p>
    <w:p w14:paraId="6553F8A2" w14:textId="77777777" w:rsidR="00975C29" w:rsidRDefault="00975C29">
      <w:pPr>
        <w:numPr>
          <w:ilvl w:val="0"/>
          <w:numId w:val="1"/>
        </w:numPr>
        <w:kinsoku w:val="0"/>
        <w:overflowPunct w:val="0"/>
        <w:autoSpaceDE/>
        <w:autoSpaceDN/>
        <w:adjustRightInd/>
        <w:spacing w:before="242" w:after="209" w:line="232" w:lineRule="exact"/>
        <w:ind w:right="72"/>
        <w:textAlignment w:val="baseline"/>
        <w:rPr>
          <w:rFonts w:ascii="Tahoma" w:hAnsi="Tahoma" w:cs="Tahoma"/>
          <w:spacing w:val="3"/>
          <w:sz w:val="17"/>
          <w:szCs w:val="17"/>
        </w:rPr>
      </w:pPr>
      <w:r>
        <w:rPr>
          <w:rFonts w:ascii="Tahoma" w:hAnsi="Tahoma" w:cs="Tahoma"/>
          <w:spacing w:val="3"/>
          <w:sz w:val="17"/>
          <w:szCs w:val="17"/>
        </w:rPr>
        <w:t>The Buydown Funds shall be applied monthly in an amount equal to the amount necessary to reduce the Borrower's monthly principal and interest payments during the Buydown Period by the difference between (I) the monthly payments set forth in the Note that are based on the fixed interest rate set forth in the Note and (II) the reduced monthly payments based on a lesser interest rate as set forth below. The reduced monthly payments of principal and interest to be made by the borrower during the Buydown period and the interest rates on which the reduced payments are based are as follows:</w:t>
      </w:r>
    </w:p>
    <w:tbl>
      <w:tblPr>
        <w:tblW w:w="0" w:type="auto"/>
        <w:tblInd w:w="486" w:type="dxa"/>
        <w:tblLayout w:type="fixed"/>
        <w:tblCellMar>
          <w:left w:w="0" w:type="dxa"/>
          <w:right w:w="0" w:type="dxa"/>
        </w:tblCellMar>
        <w:tblLook w:val="0000" w:firstRow="0" w:lastRow="0" w:firstColumn="0" w:lastColumn="0" w:noHBand="0" w:noVBand="0"/>
      </w:tblPr>
      <w:tblGrid>
        <w:gridCol w:w="1849"/>
        <w:gridCol w:w="1840"/>
        <w:gridCol w:w="1849"/>
        <w:gridCol w:w="1840"/>
        <w:gridCol w:w="1859"/>
      </w:tblGrid>
      <w:tr w:rsidR="00975C29" w14:paraId="10D6BF8D" w14:textId="77777777">
        <w:tblPrEx>
          <w:tblCellMar>
            <w:top w:w="0" w:type="dxa"/>
            <w:left w:w="0" w:type="dxa"/>
            <w:bottom w:w="0" w:type="dxa"/>
            <w:right w:w="0" w:type="dxa"/>
          </w:tblCellMar>
        </w:tblPrEx>
        <w:trPr>
          <w:trHeight w:hRule="exact" w:val="265"/>
        </w:trPr>
        <w:tc>
          <w:tcPr>
            <w:tcW w:w="9237" w:type="dxa"/>
            <w:gridSpan w:val="5"/>
            <w:tcBorders>
              <w:top w:val="single" w:sz="7" w:space="0" w:color="auto"/>
              <w:left w:val="single" w:sz="7" w:space="0" w:color="auto"/>
              <w:bottom w:val="single" w:sz="7" w:space="0" w:color="auto"/>
              <w:right w:val="single" w:sz="7" w:space="0" w:color="auto"/>
            </w:tcBorders>
            <w:vAlign w:val="center"/>
          </w:tcPr>
          <w:p w14:paraId="61764234" w14:textId="77777777" w:rsidR="00975C29" w:rsidRDefault="00975C29">
            <w:pPr>
              <w:kinsoku w:val="0"/>
              <w:overflowPunct w:val="0"/>
              <w:autoSpaceDE/>
              <w:autoSpaceDN/>
              <w:adjustRightInd/>
              <w:spacing w:before="41" w:after="15" w:line="205" w:lineRule="exact"/>
              <w:ind w:right="3715"/>
              <w:jc w:val="right"/>
              <w:textAlignment w:val="baseline"/>
              <w:rPr>
                <w:rFonts w:ascii="Tahoma" w:hAnsi="Tahoma" w:cs="Tahoma"/>
                <w:b/>
                <w:bCs/>
                <w:sz w:val="17"/>
                <w:szCs w:val="17"/>
              </w:rPr>
            </w:pPr>
            <w:r>
              <w:rPr>
                <w:rFonts w:ascii="Tahoma" w:hAnsi="Tahoma" w:cs="Tahoma"/>
                <w:b/>
                <w:bCs/>
                <w:sz w:val="17"/>
                <w:szCs w:val="17"/>
              </w:rPr>
              <w:t>Temporary Buydowns</w:t>
            </w:r>
          </w:p>
        </w:tc>
      </w:tr>
      <w:tr w:rsidR="00975C29" w14:paraId="42683C29" w14:textId="77777777">
        <w:tblPrEx>
          <w:tblCellMar>
            <w:top w:w="0" w:type="dxa"/>
            <w:left w:w="0" w:type="dxa"/>
            <w:bottom w:w="0" w:type="dxa"/>
            <w:right w:w="0" w:type="dxa"/>
          </w:tblCellMar>
        </w:tblPrEx>
        <w:trPr>
          <w:trHeight w:hRule="exact" w:val="708"/>
        </w:trPr>
        <w:tc>
          <w:tcPr>
            <w:tcW w:w="1849" w:type="dxa"/>
            <w:tcBorders>
              <w:top w:val="single" w:sz="7" w:space="0" w:color="auto"/>
              <w:left w:val="single" w:sz="7" w:space="0" w:color="auto"/>
              <w:bottom w:val="single" w:sz="7" w:space="0" w:color="auto"/>
              <w:right w:val="single" w:sz="7" w:space="0" w:color="auto"/>
            </w:tcBorders>
          </w:tcPr>
          <w:p w14:paraId="197F44F7" w14:textId="77777777" w:rsidR="00975C29" w:rsidRDefault="00975C29">
            <w:pPr>
              <w:kinsoku w:val="0"/>
              <w:overflowPunct w:val="0"/>
              <w:autoSpaceDE/>
              <w:autoSpaceDN/>
              <w:adjustRightInd/>
              <w:spacing w:after="253" w:line="224" w:lineRule="exact"/>
              <w:jc w:val="center"/>
              <w:textAlignment w:val="baseline"/>
              <w:rPr>
                <w:rFonts w:ascii="Tahoma" w:hAnsi="Tahoma" w:cs="Tahoma"/>
                <w:b/>
                <w:bCs/>
                <w:sz w:val="17"/>
                <w:szCs w:val="17"/>
              </w:rPr>
            </w:pPr>
            <w:r>
              <w:rPr>
                <w:rFonts w:ascii="Tahoma" w:hAnsi="Tahoma" w:cs="Tahoma"/>
                <w:b/>
                <w:bCs/>
                <w:sz w:val="17"/>
                <w:szCs w:val="17"/>
              </w:rPr>
              <w:t>Bought Down</w:t>
            </w:r>
            <w:r>
              <w:rPr>
                <w:rFonts w:ascii="Tahoma" w:hAnsi="Tahoma" w:cs="Tahoma"/>
                <w:b/>
                <w:bCs/>
                <w:sz w:val="17"/>
                <w:szCs w:val="17"/>
              </w:rPr>
              <w:br/>
              <w:t>Interest Rate</w:t>
            </w:r>
          </w:p>
        </w:tc>
        <w:tc>
          <w:tcPr>
            <w:tcW w:w="1840" w:type="dxa"/>
            <w:tcBorders>
              <w:top w:val="single" w:sz="7" w:space="0" w:color="auto"/>
              <w:left w:val="single" w:sz="7" w:space="0" w:color="auto"/>
              <w:bottom w:val="single" w:sz="7" w:space="0" w:color="auto"/>
              <w:right w:val="single" w:sz="7" w:space="0" w:color="auto"/>
            </w:tcBorders>
          </w:tcPr>
          <w:p w14:paraId="428568CF" w14:textId="77777777" w:rsidR="00975C29" w:rsidRDefault="00975C29">
            <w:pPr>
              <w:kinsoku w:val="0"/>
              <w:overflowPunct w:val="0"/>
              <w:autoSpaceDE/>
              <w:autoSpaceDN/>
              <w:adjustRightInd/>
              <w:spacing w:after="244" w:line="228" w:lineRule="exact"/>
              <w:jc w:val="center"/>
              <w:textAlignment w:val="baseline"/>
              <w:rPr>
                <w:rFonts w:ascii="Tahoma" w:hAnsi="Tahoma" w:cs="Tahoma"/>
                <w:b/>
                <w:bCs/>
                <w:sz w:val="17"/>
                <w:szCs w:val="17"/>
              </w:rPr>
            </w:pPr>
            <w:r>
              <w:rPr>
                <w:rFonts w:ascii="Tahoma" w:hAnsi="Tahoma" w:cs="Tahoma"/>
                <w:b/>
                <w:bCs/>
                <w:sz w:val="17"/>
                <w:szCs w:val="17"/>
              </w:rPr>
              <w:t>Note Rate</w:t>
            </w:r>
            <w:r>
              <w:rPr>
                <w:rFonts w:ascii="Tahoma" w:hAnsi="Tahoma" w:cs="Tahoma"/>
                <w:b/>
                <w:bCs/>
                <w:sz w:val="17"/>
                <w:szCs w:val="17"/>
              </w:rPr>
              <w:br/>
              <w:t>MI Payment</w:t>
            </w:r>
          </w:p>
        </w:tc>
        <w:tc>
          <w:tcPr>
            <w:tcW w:w="1849" w:type="dxa"/>
            <w:tcBorders>
              <w:top w:val="single" w:sz="7" w:space="0" w:color="auto"/>
              <w:left w:val="single" w:sz="7" w:space="0" w:color="auto"/>
              <w:bottom w:val="single" w:sz="7" w:space="0" w:color="auto"/>
              <w:right w:val="single" w:sz="7" w:space="0" w:color="auto"/>
            </w:tcBorders>
          </w:tcPr>
          <w:p w14:paraId="1312A611" w14:textId="77777777" w:rsidR="00975C29" w:rsidRDefault="00975C29">
            <w:pPr>
              <w:kinsoku w:val="0"/>
              <w:overflowPunct w:val="0"/>
              <w:autoSpaceDE/>
              <w:autoSpaceDN/>
              <w:adjustRightInd/>
              <w:spacing w:after="9" w:line="230" w:lineRule="exact"/>
              <w:jc w:val="center"/>
              <w:textAlignment w:val="baseline"/>
              <w:rPr>
                <w:rFonts w:ascii="Tahoma" w:hAnsi="Tahoma" w:cs="Tahoma"/>
                <w:b/>
                <w:bCs/>
                <w:sz w:val="17"/>
                <w:szCs w:val="17"/>
              </w:rPr>
            </w:pPr>
            <w:r>
              <w:rPr>
                <w:rFonts w:ascii="Tahoma" w:hAnsi="Tahoma" w:cs="Tahoma"/>
                <w:b/>
                <w:bCs/>
                <w:sz w:val="17"/>
                <w:szCs w:val="17"/>
              </w:rPr>
              <w:t>Bought Down</w:t>
            </w:r>
            <w:r>
              <w:rPr>
                <w:rFonts w:ascii="Tahoma" w:hAnsi="Tahoma" w:cs="Tahoma"/>
                <w:b/>
                <w:bCs/>
                <w:sz w:val="17"/>
                <w:szCs w:val="17"/>
              </w:rPr>
              <w:br/>
              <w:t>P&amp;I Payment by</w:t>
            </w:r>
            <w:r>
              <w:rPr>
                <w:rFonts w:ascii="Tahoma" w:hAnsi="Tahoma" w:cs="Tahoma"/>
                <w:b/>
                <w:bCs/>
                <w:sz w:val="17"/>
                <w:szCs w:val="17"/>
              </w:rPr>
              <w:br/>
              <w:t>Borrower</w:t>
            </w:r>
          </w:p>
        </w:tc>
        <w:tc>
          <w:tcPr>
            <w:tcW w:w="1840" w:type="dxa"/>
            <w:tcBorders>
              <w:top w:val="single" w:sz="7" w:space="0" w:color="auto"/>
              <w:left w:val="single" w:sz="7" w:space="0" w:color="auto"/>
              <w:bottom w:val="single" w:sz="7" w:space="0" w:color="auto"/>
              <w:right w:val="single" w:sz="7" w:space="0" w:color="auto"/>
            </w:tcBorders>
          </w:tcPr>
          <w:p w14:paraId="4D799DFC" w14:textId="77777777" w:rsidR="00975C29" w:rsidRDefault="00975C29">
            <w:pPr>
              <w:kinsoku w:val="0"/>
              <w:overflowPunct w:val="0"/>
              <w:autoSpaceDE/>
              <w:autoSpaceDN/>
              <w:adjustRightInd/>
              <w:spacing w:after="234" w:line="233" w:lineRule="exact"/>
              <w:jc w:val="center"/>
              <w:textAlignment w:val="baseline"/>
              <w:rPr>
                <w:rFonts w:ascii="Tahoma" w:hAnsi="Tahoma" w:cs="Tahoma"/>
                <w:b/>
                <w:bCs/>
                <w:sz w:val="17"/>
                <w:szCs w:val="17"/>
              </w:rPr>
            </w:pPr>
            <w:r>
              <w:rPr>
                <w:rFonts w:ascii="Tahoma" w:hAnsi="Tahoma" w:cs="Tahoma"/>
                <w:b/>
                <w:bCs/>
                <w:sz w:val="17"/>
                <w:szCs w:val="17"/>
              </w:rPr>
              <w:t>Buydown Monthly</w:t>
            </w:r>
            <w:r>
              <w:rPr>
                <w:rFonts w:ascii="Tahoma" w:hAnsi="Tahoma" w:cs="Tahoma"/>
                <w:b/>
                <w:bCs/>
                <w:sz w:val="17"/>
                <w:szCs w:val="17"/>
              </w:rPr>
              <w:br/>
              <w:t>Subsidy</w:t>
            </w:r>
          </w:p>
        </w:tc>
        <w:tc>
          <w:tcPr>
            <w:tcW w:w="1859" w:type="dxa"/>
            <w:tcBorders>
              <w:top w:val="single" w:sz="7" w:space="0" w:color="auto"/>
              <w:left w:val="single" w:sz="7" w:space="0" w:color="auto"/>
              <w:bottom w:val="single" w:sz="7" w:space="0" w:color="auto"/>
              <w:right w:val="single" w:sz="7" w:space="0" w:color="auto"/>
            </w:tcBorders>
          </w:tcPr>
          <w:p w14:paraId="4DAEB525" w14:textId="77777777" w:rsidR="00975C29" w:rsidRDefault="00975C29">
            <w:pPr>
              <w:kinsoku w:val="0"/>
              <w:overflowPunct w:val="0"/>
              <w:autoSpaceDE/>
              <w:autoSpaceDN/>
              <w:adjustRightInd/>
              <w:spacing w:after="229" w:line="233" w:lineRule="exact"/>
              <w:jc w:val="center"/>
              <w:textAlignment w:val="baseline"/>
              <w:rPr>
                <w:rFonts w:ascii="Tahoma" w:hAnsi="Tahoma" w:cs="Tahoma"/>
                <w:b/>
                <w:bCs/>
                <w:sz w:val="17"/>
                <w:szCs w:val="17"/>
              </w:rPr>
            </w:pPr>
            <w:r>
              <w:rPr>
                <w:rFonts w:ascii="Tahoma" w:hAnsi="Tahoma" w:cs="Tahoma"/>
                <w:b/>
                <w:bCs/>
                <w:sz w:val="17"/>
                <w:szCs w:val="17"/>
              </w:rPr>
              <w:t>Buydown Annual</w:t>
            </w:r>
            <w:r>
              <w:rPr>
                <w:rFonts w:ascii="Tahoma" w:hAnsi="Tahoma" w:cs="Tahoma"/>
                <w:b/>
                <w:bCs/>
                <w:sz w:val="17"/>
                <w:szCs w:val="17"/>
              </w:rPr>
              <w:br/>
              <w:t>Subsidy</w:t>
            </w:r>
          </w:p>
        </w:tc>
      </w:tr>
      <w:tr w:rsidR="00975C29" w14:paraId="6E2C7287" w14:textId="77777777">
        <w:tblPrEx>
          <w:tblCellMar>
            <w:top w:w="0" w:type="dxa"/>
            <w:left w:w="0" w:type="dxa"/>
            <w:bottom w:w="0" w:type="dxa"/>
            <w:right w:w="0" w:type="dxa"/>
          </w:tblCellMar>
        </w:tblPrEx>
        <w:trPr>
          <w:trHeight w:hRule="exact" w:val="245"/>
        </w:trPr>
        <w:tc>
          <w:tcPr>
            <w:tcW w:w="1849" w:type="dxa"/>
            <w:tcBorders>
              <w:top w:val="single" w:sz="7" w:space="0" w:color="auto"/>
              <w:left w:val="single" w:sz="7" w:space="0" w:color="auto"/>
              <w:bottom w:val="single" w:sz="7" w:space="0" w:color="auto"/>
              <w:right w:val="single" w:sz="7" w:space="0" w:color="auto"/>
            </w:tcBorders>
            <w:vAlign w:val="center"/>
          </w:tcPr>
          <w:p w14:paraId="33D8C411" w14:textId="54F97CE4" w:rsidR="00975C29" w:rsidRDefault="00975C29">
            <w:pPr>
              <w:tabs>
                <w:tab w:val="decimal" w:pos="720"/>
              </w:tabs>
              <w:kinsoku w:val="0"/>
              <w:overflowPunct w:val="0"/>
              <w:autoSpaceDE/>
              <w:autoSpaceDN/>
              <w:adjustRightInd/>
              <w:spacing w:after="18"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1DE68B7B" w14:textId="1A1FE74F" w:rsidR="00975C29" w:rsidRDefault="00975C29">
            <w:pPr>
              <w:tabs>
                <w:tab w:val="decimal" w:pos="1080"/>
              </w:tabs>
              <w:kinsoku w:val="0"/>
              <w:overflowPunct w:val="0"/>
              <w:autoSpaceDE/>
              <w:autoSpaceDN/>
              <w:adjustRightInd/>
              <w:spacing w:after="14" w:line="203" w:lineRule="exact"/>
              <w:textAlignment w:val="baseline"/>
              <w:rPr>
                <w:rFonts w:ascii="Tahoma" w:hAnsi="Tahoma" w:cs="Tahoma"/>
                <w:sz w:val="17"/>
                <w:szCs w:val="17"/>
              </w:rPr>
            </w:pPr>
          </w:p>
        </w:tc>
        <w:tc>
          <w:tcPr>
            <w:tcW w:w="1849" w:type="dxa"/>
            <w:tcBorders>
              <w:top w:val="single" w:sz="7" w:space="0" w:color="auto"/>
              <w:left w:val="single" w:sz="7" w:space="0" w:color="auto"/>
              <w:bottom w:val="single" w:sz="7" w:space="0" w:color="auto"/>
              <w:right w:val="single" w:sz="7" w:space="0" w:color="auto"/>
            </w:tcBorders>
            <w:vAlign w:val="center"/>
          </w:tcPr>
          <w:p w14:paraId="3081B637" w14:textId="192E23CB" w:rsidR="00975C29" w:rsidRDefault="00975C29">
            <w:pPr>
              <w:tabs>
                <w:tab w:val="decimal" w:pos="1080"/>
              </w:tabs>
              <w:kinsoku w:val="0"/>
              <w:overflowPunct w:val="0"/>
              <w:autoSpaceDE/>
              <w:autoSpaceDN/>
              <w:adjustRightInd/>
              <w:spacing w:after="11"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7B382F39" w14:textId="047BB728" w:rsidR="00975C29" w:rsidRDefault="00975C29">
            <w:pPr>
              <w:kinsoku w:val="0"/>
              <w:overflowPunct w:val="0"/>
              <w:autoSpaceDE/>
              <w:autoSpaceDN/>
              <w:adjustRightInd/>
              <w:spacing w:after="9" w:line="203" w:lineRule="exact"/>
              <w:jc w:val="center"/>
              <w:textAlignment w:val="baseline"/>
              <w:rPr>
                <w:rFonts w:ascii="Tahoma" w:hAnsi="Tahoma" w:cs="Tahoma"/>
                <w:sz w:val="17"/>
                <w:szCs w:val="17"/>
              </w:rPr>
            </w:pPr>
          </w:p>
        </w:tc>
        <w:tc>
          <w:tcPr>
            <w:tcW w:w="1859" w:type="dxa"/>
            <w:tcBorders>
              <w:top w:val="single" w:sz="7" w:space="0" w:color="auto"/>
              <w:left w:val="single" w:sz="7" w:space="0" w:color="auto"/>
              <w:bottom w:val="single" w:sz="7" w:space="0" w:color="auto"/>
              <w:right w:val="single" w:sz="7" w:space="0" w:color="auto"/>
            </w:tcBorders>
            <w:vAlign w:val="center"/>
          </w:tcPr>
          <w:p w14:paraId="35789658" w14:textId="232CB07F" w:rsidR="00975C29" w:rsidRDefault="00975C29">
            <w:pPr>
              <w:tabs>
                <w:tab w:val="decimal" w:pos="1080"/>
              </w:tabs>
              <w:kinsoku w:val="0"/>
              <w:overflowPunct w:val="0"/>
              <w:autoSpaceDE/>
              <w:autoSpaceDN/>
              <w:adjustRightInd/>
              <w:spacing w:before="32" w:after="3" w:line="203" w:lineRule="exact"/>
              <w:textAlignment w:val="baseline"/>
              <w:rPr>
                <w:rFonts w:ascii="Tahoma" w:hAnsi="Tahoma" w:cs="Tahoma"/>
                <w:sz w:val="17"/>
                <w:szCs w:val="17"/>
              </w:rPr>
            </w:pPr>
          </w:p>
        </w:tc>
      </w:tr>
      <w:tr w:rsidR="00975C29" w14:paraId="214BFE56" w14:textId="77777777">
        <w:tblPrEx>
          <w:tblCellMar>
            <w:top w:w="0" w:type="dxa"/>
            <w:left w:w="0" w:type="dxa"/>
            <w:bottom w:w="0" w:type="dxa"/>
            <w:right w:w="0" w:type="dxa"/>
          </w:tblCellMar>
        </w:tblPrEx>
        <w:trPr>
          <w:trHeight w:hRule="exact" w:val="246"/>
        </w:trPr>
        <w:tc>
          <w:tcPr>
            <w:tcW w:w="1849" w:type="dxa"/>
            <w:tcBorders>
              <w:top w:val="single" w:sz="7" w:space="0" w:color="auto"/>
              <w:left w:val="single" w:sz="7" w:space="0" w:color="auto"/>
              <w:bottom w:val="single" w:sz="7" w:space="0" w:color="auto"/>
              <w:right w:val="single" w:sz="7" w:space="0" w:color="auto"/>
            </w:tcBorders>
            <w:vAlign w:val="center"/>
          </w:tcPr>
          <w:p w14:paraId="3A32869A" w14:textId="7087DF53" w:rsidR="00975C29" w:rsidRDefault="00975C29">
            <w:pPr>
              <w:tabs>
                <w:tab w:val="decimal" w:pos="720"/>
              </w:tabs>
              <w:kinsoku w:val="0"/>
              <w:overflowPunct w:val="0"/>
              <w:autoSpaceDE/>
              <w:autoSpaceDN/>
              <w:adjustRightInd/>
              <w:spacing w:after="19"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3F62889A" w14:textId="7CF8D171" w:rsidR="00975C29" w:rsidRDefault="00975C29">
            <w:pPr>
              <w:tabs>
                <w:tab w:val="decimal" w:pos="1080"/>
              </w:tabs>
              <w:kinsoku w:val="0"/>
              <w:overflowPunct w:val="0"/>
              <w:autoSpaceDE/>
              <w:autoSpaceDN/>
              <w:adjustRightInd/>
              <w:spacing w:after="13" w:line="203" w:lineRule="exact"/>
              <w:textAlignment w:val="baseline"/>
              <w:rPr>
                <w:rFonts w:ascii="Tahoma" w:hAnsi="Tahoma" w:cs="Tahoma"/>
                <w:sz w:val="17"/>
                <w:szCs w:val="17"/>
              </w:rPr>
            </w:pPr>
          </w:p>
        </w:tc>
        <w:tc>
          <w:tcPr>
            <w:tcW w:w="1849" w:type="dxa"/>
            <w:tcBorders>
              <w:top w:val="single" w:sz="7" w:space="0" w:color="auto"/>
              <w:left w:val="single" w:sz="7" w:space="0" w:color="auto"/>
              <w:bottom w:val="single" w:sz="7" w:space="0" w:color="auto"/>
              <w:right w:val="single" w:sz="7" w:space="0" w:color="auto"/>
            </w:tcBorders>
            <w:vAlign w:val="center"/>
          </w:tcPr>
          <w:p w14:paraId="421F60CD" w14:textId="6662F25D" w:rsidR="00975C29" w:rsidRDefault="00975C29">
            <w:pPr>
              <w:tabs>
                <w:tab w:val="decimal" w:pos="1080"/>
              </w:tabs>
              <w:kinsoku w:val="0"/>
              <w:overflowPunct w:val="0"/>
              <w:autoSpaceDE/>
              <w:autoSpaceDN/>
              <w:adjustRightInd/>
              <w:spacing w:after="10"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48D15EAE" w14:textId="651B60F1" w:rsidR="00975C29" w:rsidRDefault="00975C29">
            <w:pPr>
              <w:kinsoku w:val="0"/>
              <w:overflowPunct w:val="0"/>
              <w:autoSpaceDE/>
              <w:autoSpaceDN/>
              <w:adjustRightInd/>
              <w:spacing w:after="8" w:line="203" w:lineRule="exact"/>
              <w:jc w:val="center"/>
              <w:textAlignment w:val="baseline"/>
              <w:rPr>
                <w:rFonts w:ascii="Tahoma" w:hAnsi="Tahoma" w:cs="Tahoma"/>
                <w:sz w:val="17"/>
                <w:szCs w:val="17"/>
              </w:rPr>
            </w:pPr>
          </w:p>
        </w:tc>
        <w:tc>
          <w:tcPr>
            <w:tcW w:w="1859" w:type="dxa"/>
            <w:tcBorders>
              <w:top w:val="single" w:sz="7" w:space="0" w:color="auto"/>
              <w:left w:val="single" w:sz="7" w:space="0" w:color="auto"/>
              <w:bottom w:val="single" w:sz="7" w:space="0" w:color="auto"/>
              <w:right w:val="single" w:sz="7" w:space="0" w:color="auto"/>
            </w:tcBorders>
            <w:vAlign w:val="center"/>
          </w:tcPr>
          <w:p w14:paraId="232A1A9F" w14:textId="023923B4" w:rsidR="00975C29" w:rsidRDefault="00975C29">
            <w:pPr>
              <w:tabs>
                <w:tab w:val="decimal" w:pos="1080"/>
              </w:tabs>
              <w:kinsoku w:val="0"/>
              <w:overflowPunct w:val="0"/>
              <w:autoSpaceDE/>
              <w:autoSpaceDN/>
              <w:adjustRightInd/>
              <w:spacing w:before="34" w:after="1" w:line="203" w:lineRule="exact"/>
              <w:textAlignment w:val="baseline"/>
              <w:rPr>
                <w:rFonts w:ascii="Tahoma" w:hAnsi="Tahoma" w:cs="Tahoma"/>
                <w:sz w:val="17"/>
                <w:szCs w:val="17"/>
              </w:rPr>
            </w:pPr>
          </w:p>
        </w:tc>
      </w:tr>
      <w:tr w:rsidR="00975C29" w14:paraId="77B288B2" w14:textId="77777777">
        <w:tblPrEx>
          <w:tblCellMar>
            <w:top w:w="0" w:type="dxa"/>
            <w:left w:w="0" w:type="dxa"/>
            <w:bottom w:w="0" w:type="dxa"/>
            <w:right w:w="0" w:type="dxa"/>
          </w:tblCellMar>
        </w:tblPrEx>
        <w:trPr>
          <w:trHeight w:hRule="exact" w:val="246"/>
        </w:trPr>
        <w:tc>
          <w:tcPr>
            <w:tcW w:w="1849" w:type="dxa"/>
            <w:tcBorders>
              <w:top w:val="single" w:sz="7" w:space="0" w:color="auto"/>
              <w:left w:val="single" w:sz="7" w:space="0" w:color="auto"/>
              <w:bottom w:val="single" w:sz="7" w:space="0" w:color="auto"/>
              <w:right w:val="single" w:sz="7" w:space="0" w:color="auto"/>
            </w:tcBorders>
            <w:vAlign w:val="center"/>
          </w:tcPr>
          <w:p w14:paraId="7B68E209" w14:textId="21BDA08D" w:rsidR="00975C29" w:rsidRDefault="00975C29">
            <w:pPr>
              <w:tabs>
                <w:tab w:val="decimal" w:pos="720"/>
              </w:tabs>
              <w:kinsoku w:val="0"/>
              <w:overflowPunct w:val="0"/>
              <w:autoSpaceDE/>
              <w:autoSpaceDN/>
              <w:adjustRightInd/>
              <w:spacing w:after="17"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01B46756" w14:textId="67862EC8" w:rsidR="00975C29" w:rsidRDefault="00975C29">
            <w:pPr>
              <w:tabs>
                <w:tab w:val="decimal" w:pos="1080"/>
              </w:tabs>
              <w:kinsoku w:val="0"/>
              <w:overflowPunct w:val="0"/>
              <w:autoSpaceDE/>
              <w:autoSpaceDN/>
              <w:adjustRightInd/>
              <w:spacing w:after="12" w:line="203" w:lineRule="exact"/>
              <w:textAlignment w:val="baseline"/>
              <w:rPr>
                <w:rFonts w:ascii="Tahoma" w:hAnsi="Tahoma" w:cs="Tahoma"/>
                <w:sz w:val="17"/>
                <w:szCs w:val="17"/>
              </w:rPr>
            </w:pPr>
          </w:p>
        </w:tc>
        <w:tc>
          <w:tcPr>
            <w:tcW w:w="1849" w:type="dxa"/>
            <w:tcBorders>
              <w:top w:val="single" w:sz="7" w:space="0" w:color="auto"/>
              <w:left w:val="single" w:sz="7" w:space="0" w:color="auto"/>
              <w:bottom w:val="single" w:sz="7" w:space="0" w:color="auto"/>
              <w:right w:val="single" w:sz="7" w:space="0" w:color="auto"/>
            </w:tcBorders>
            <w:vAlign w:val="center"/>
          </w:tcPr>
          <w:p w14:paraId="00ED0FA9" w14:textId="49B6090E" w:rsidR="00975C29" w:rsidRDefault="00975C29">
            <w:pPr>
              <w:tabs>
                <w:tab w:val="decimal" w:pos="1080"/>
              </w:tabs>
              <w:kinsoku w:val="0"/>
              <w:overflowPunct w:val="0"/>
              <w:autoSpaceDE/>
              <w:autoSpaceDN/>
              <w:adjustRightInd/>
              <w:spacing w:after="7" w:line="203" w:lineRule="exact"/>
              <w:textAlignment w:val="baseline"/>
              <w:rPr>
                <w:rFonts w:ascii="Tahoma" w:hAnsi="Tahoma" w:cs="Tahoma"/>
                <w:sz w:val="17"/>
                <w:szCs w:val="17"/>
              </w:rPr>
            </w:pPr>
          </w:p>
        </w:tc>
        <w:tc>
          <w:tcPr>
            <w:tcW w:w="1840" w:type="dxa"/>
            <w:tcBorders>
              <w:top w:val="single" w:sz="7" w:space="0" w:color="auto"/>
              <w:left w:val="single" w:sz="7" w:space="0" w:color="auto"/>
              <w:bottom w:val="single" w:sz="7" w:space="0" w:color="auto"/>
              <w:right w:val="single" w:sz="7" w:space="0" w:color="auto"/>
            </w:tcBorders>
            <w:vAlign w:val="center"/>
          </w:tcPr>
          <w:p w14:paraId="217E6977" w14:textId="40E26E80" w:rsidR="00975C29" w:rsidRDefault="00975C29">
            <w:pPr>
              <w:kinsoku w:val="0"/>
              <w:overflowPunct w:val="0"/>
              <w:autoSpaceDE/>
              <w:autoSpaceDN/>
              <w:adjustRightInd/>
              <w:spacing w:before="31" w:after="3" w:line="203" w:lineRule="exact"/>
              <w:jc w:val="center"/>
              <w:textAlignment w:val="baseline"/>
              <w:rPr>
                <w:rFonts w:ascii="Tahoma" w:hAnsi="Tahoma" w:cs="Tahoma"/>
                <w:sz w:val="17"/>
                <w:szCs w:val="17"/>
              </w:rPr>
            </w:pPr>
          </w:p>
        </w:tc>
        <w:tc>
          <w:tcPr>
            <w:tcW w:w="1859" w:type="dxa"/>
            <w:tcBorders>
              <w:top w:val="single" w:sz="7" w:space="0" w:color="auto"/>
              <w:left w:val="single" w:sz="7" w:space="0" w:color="auto"/>
              <w:bottom w:val="single" w:sz="7" w:space="0" w:color="auto"/>
              <w:right w:val="single" w:sz="7" w:space="0" w:color="auto"/>
            </w:tcBorders>
            <w:vAlign w:val="center"/>
          </w:tcPr>
          <w:p w14:paraId="09A0C502" w14:textId="278F55FC" w:rsidR="00975C29" w:rsidRDefault="00975C29">
            <w:pPr>
              <w:kinsoku w:val="0"/>
              <w:overflowPunct w:val="0"/>
              <w:autoSpaceDE/>
              <w:autoSpaceDN/>
              <w:adjustRightInd/>
              <w:spacing w:before="36" w:line="201" w:lineRule="exact"/>
              <w:jc w:val="center"/>
              <w:textAlignment w:val="baseline"/>
              <w:rPr>
                <w:rFonts w:ascii="Tahoma" w:hAnsi="Tahoma" w:cs="Tahoma"/>
                <w:b/>
                <w:bCs/>
                <w:sz w:val="17"/>
                <w:szCs w:val="17"/>
              </w:rPr>
            </w:pPr>
          </w:p>
        </w:tc>
      </w:tr>
      <w:tr w:rsidR="00975C29" w14:paraId="15A57269" w14:textId="77777777">
        <w:tblPrEx>
          <w:tblCellMar>
            <w:top w:w="0" w:type="dxa"/>
            <w:left w:w="0" w:type="dxa"/>
            <w:bottom w:w="0" w:type="dxa"/>
            <w:right w:w="0" w:type="dxa"/>
          </w:tblCellMar>
        </w:tblPrEx>
        <w:trPr>
          <w:trHeight w:hRule="exact" w:val="269"/>
        </w:trPr>
        <w:tc>
          <w:tcPr>
            <w:tcW w:w="7378" w:type="dxa"/>
            <w:gridSpan w:val="4"/>
            <w:tcBorders>
              <w:top w:val="single" w:sz="7" w:space="0" w:color="auto"/>
              <w:left w:val="single" w:sz="7" w:space="0" w:color="auto"/>
              <w:bottom w:val="single" w:sz="7" w:space="0" w:color="auto"/>
              <w:right w:val="single" w:sz="7" w:space="0" w:color="auto"/>
            </w:tcBorders>
            <w:vAlign w:val="center"/>
          </w:tcPr>
          <w:p w14:paraId="1733083E" w14:textId="77777777" w:rsidR="00975C29" w:rsidRDefault="00975C29">
            <w:pPr>
              <w:kinsoku w:val="0"/>
              <w:overflowPunct w:val="0"/>
              <w:autoSpaceDE/>
              <w:autoSpaceDN/>
              <w:adjustRightInd/>
              <w:spacing w:after="28" w:line="233" w:lineRule="exact"/>
              <w:ind w:left="3820"/>
              <w:textAlignment w:val="baseline"/>
              <w:rPr>
                <w:rFonts w:ascii="Tahoma" w:hAnsi="Tahoma" w:cs="Tahoma"/>
                <w:b/>
                <w:bCs/>
                <w:spacing w:val="-4"/>
                <w:sz w:val="17"/>
                <w:szCs w:val="17"/>
              </w:rPr>
            </w:pPr>
            <w:r>
              <w:rPr>
                <w:rFonts w:ascii="Tahoma" w:hAnsi="Tahoma" w:cs="Tahoma"/>
                <w:b/>
                <w:bCs/>
                <w:spacing w:val="-4"/>
                <w:sz w:val="17"/>
                <w:szCs w:val="17"/>
              </w:rPr>
              <w:t>Total Buydown Funds Required at Closing:</w:t>
            </w:r>
          </w:p>
        </w:tc>
        <w:tc>
          <w:tcPr>
            <w:tcW w:w="1859" w:type="dxa"/>
            <w:tcBorders>
              <w:top w:val="single" w:sz="7" w:space="0" w:color="auto"/>
              <w:left w:val="single" w:sz="7" w:space="0" w:color="auto"/>
              <w:bottom w:val="single" w:sz="7" w:space="0" w:color="auto"/>
              <w:right w:val="single" w:sz="7" w:space="0" w:color="auto"/>
            </w:tcBorders>
            <w:vAlign w:val="center"/>
          </w:tcPr>
          <w:p w14:paraId="1BD0003A" w14:textId="1AAAE1EC" w:rsidR="00975C29" w:rsidRDefault="00975C29">
            <w:pPr>
              <w:tabs>
                <w:tab w:val="decimal" w:pos="1080"/>
              </w:tabs>
              <w:kinsoku w:val="0"/>
              <w:overflowPunct w:val="0"/>
              <w:autoSpaceDE/>
              <w:autoSpaceDN/>
              <w:adjustRightInd/>
              <w:spacing w:before="32" w:after="27" w:line="205" w:lineRule="exact"/>
              <w:textAlignment w:val="baseline"/>
              <w:rPr>
                <w:rFonts w:ascii="Tahoma" w:hAnsi="Tahoma" w:cs="Tahoma"/>
                <w:b/>
                <w:bCs/>
                <w:sz w:val="17"/>
                <w:szCs w:val="17"/>
              </w:rPr>
            </w:pPr>
            <w:r>
              <w:rPr>
                <w:rFonts w:ascii="Tahoma" w:hAnsi="Tahoma" w:cs="Tahoma"/>
                <w:b/>
                <w:bCs/>
                <w:sz w:val="17"/>
                <w:szCs w:val="17"/>
              </w:rPr>
              <w:t xml:space="preserve">$ </w:t>
            </w:r>
          </w:p>
        </w:tc>
      </w:tr>
    </w:tbl>
    <w:p w14:paraId="0722E89C" w14:textId="77777777" w:rsidR="00975C29" w:rsidRDefault="00975C29">
      <w:pPr>
        <w:kinsoku w:val="0"/>
        <w:overflowPunct w:val="0"/>
        <w:autoSpaceDE/>
        <w:autoSpaceDN/>
        <w:adjustRightInd/>
        <w:spacing w:after="450" w:line="20" w:lineRule="exact"/>
        <w:ind w:left="477" w:right="406"/>
        <w:textAlignment w:val="baseline"/>
        <w:rPr>
          <w:sz w:val="24"/>
          <w:szCs w:val="24"/>
        </w:rPr>
      </w:pPr>
    </w:p>
    <w:p w14:paraId="61426091" w14:textId="77777777" w:rsidR="00975C29" w:rsidRDefault="00975C29">
      <w:pPr>
        <w:numPr>
          <w:ilvl w:val="0"/>
          <w:numId w:val="1"/>
        </w:numPr>
        <w:kinsoku w:val="0"/>
        <w:overflowPunct w:val="0"/>
        <w:autoSpaceDE/>
        <w:autoSpaceDN/>
        <w:adjustRightInd/>
        <w:spacing w:line="227" w:lineRule="exact"/>
        <w:ind w:right="144"/>
        <w:textAlignment w:val="baseline"/>
        <w:rPr>
          <w:rFonts w:ascii="Tahoma" w:hAnsi="Tahoma" w:cs="Tahoma"/>
          <w:sz w:val="17"/>
          <w:szCs w:val="17"/>
        </w:rPr>
      </w:pPr>
      <w:r>
        <w:rPr>
          <w:rFonts w:ascii="Tahoma" w:hAnsi="Tahoma" w:cs="Tahoma"/>
          <w:sz w:val="17"/>
          <w:szCs w:val="17"/>
        </w:rPr>
        <w:t>In the event the Note is sold or assigned by the Lender to a third person, the remaining balance of the Buydown Funds shall be transferred to such assignee or to its servicing agent who will hold and apply the Buydown Funds for the remainder of the Buydown period in accordance with the terms of this Agreement.</w:t>
      </w:r>
    </w:p>
    <w:p w14:paraId="4A7F87D9" w14:textId="77777777" w:rsidR="00975C29" w:rsidRDefault="00975C29">
      <w:pPr>
        <w:numPr>
          <w:ilvl w:val="0"/>
          <w:numId w:val="1"/>
        </w:numPr>
        <w:kinsoku w:val="0"/>
        <w:overflowPunct w:val="0"/>
        <w:autoSpaceDE/>
        <w:autoSpaceDN/>
        <w:adjustRightInd/>
        <w:spacing w:before="243" w:line="235" w:lineRule="exact"/>
        <w:textAlignment w:val="baseline"/>
        <w:rPr>
          <w:rFonts w:ascii="Tahoma" w:hAnsi="Tahoma" w:cs="Tahoma"/>
          <w:sz w:val="17"/>
          <w:szCs w:val="17"/>
        </w:rPr>
      </w:pPr>
      <w:r>
        <w:rPr>
          <w:rFonts w:ascii="Tahoma" w:hAnsi="Tahoma" w:cs="Tahoma"/>
          <w:sz w:val="17"/>
          <w:szCs w:val="17"/>
        </w:rPr>
        <w:t>The Borrower, the Lender and the Provider of Funds shall have no right to any part of the Buydown funds other than the right to have them applied in accordance with the provision of this Agreement.</w:t>
      </w:r>
    </w:p>
    <w:p w14:paraId="198B5C43" w14:textId="77777777" w:rsidR="00975C29" w:rsidRDefault="00975C29">
      <w:pPr>
        <w:numPr>
          <w:ilvl w:val="0"/>
          <w:numId w:val="1"/>
        </w:numPr>
        <w:kinsoku w:val="0"/>
        <w:overflowPunct w:val="0"/>
        <w:autoSpaceDE/>
        <w:autoSpaceDN/>
        <w:adjustRightInd/>
        <w:spacing w:before="270" w:line="234" w:lineRule="exact"/>
        <w:ind w:right="72"/>
        <w:textAlignment w:val="baseline"/>
        <w:rPr>
          <w:rFonts w:ascii="Tahoma" w:hAnsi="Tahoma" w:cs="Tahoma"/>
          <w:spacing w:val="3"/>
          <w:sz w:val="17"/>
          <w:szCs w:val="17"/>
        </w:rPr>
      </w:pPr>
      <w:r>
        <w:rPr>
          <w:rFonts w:ascii="Tahoma" w:hAnsi="Tahoma" w:cs="Tahoma"/>
          <w:spacing w:val="3"/>
          <w:sz w:val="17"/>
          <w:szCs w:val="17"/>
        </w:rPr>
        <w:t>Upon any prepayment of the Note in accordance with its terms, either pursuant to a sale of the property or otherwise, any Buydown Funds which have not been applied to the monthly payments on the Note as of the date of such prepayment shall be applied by the holder of the Note first to the accrued interest due and if applicable, any late charges, then to the unpaid principal balance of the Note, provided, that in the even the Lender and the Provider of Funds are one and the same, all rights, title and interest of the Borrower in and to any such Buydown Funds which have not been applied to payments on the Note shall be forfeited to the Lender or its assigns and shall become the sole and exclusive property of the Lender or its assigns and shall be retained by the Lender or its assigns and shall not be paid to the Borrower.</w:t>
      </w:r>
    </w:p>
    <w:p w14:paraId="6966767D" w14:textId="77777777" w:rsidR="00975C29" w:rsidRDefault="00975C29">
      <w:pPr>
        <w:widowControl/>
        <w:rPr>
          <w:sz w:val="24"/>
          <w:szCs w:val="24"/>
        </w:rPr>
        <w:sectPr w:rsidR="00975C29">
          <w:footerReference w:type="default" r:id="rId7"/>
          <w:pgSz w:w="12242" w:h="15840"/>
          <w:pgMar w:top="1020" w:right="1005" w:bottom="824" w:left="1117" w:header="720" w:footer="720" w:gutter="0"/>
          <w:cols w:space="720"/>
          <w:noEndnote/>
        </w:sectPr>
      </w:pPr>
    </w:p>
    <w:p w14:paraId="1ADC97AB" w14:textId="77777777" w:rsidR="00975C29" w:rsidRDefault="00975C29">
      <w:pPr>
        <w:numPr>
          <w:ilvl w:val="0"/>
          <w:numId w:val="2"/>
        </w:numPr>
        <w:kinsoku w:val="0"/>
        <w:overflowPunct w:val="0"/>
        <w:autoSpaceDE/>
        <w:autoSpaceDN/>
        <w:adjustRightInd/>
        <w:spacing w:line="233" w:lineRule="exact"/>
        <w:textAlignment w:val="baseline"/>
        <w:rPr>
          <w:rFonts w:ascii="Tahoma" w:hAnsi="Tahoma" w:cs="Tahoma"/>
          <w:sz w:val="17"/>
          <w:szCs w:val="17"/>
        </w:rPr>
      </w:pPr>
      <w:r>
        <w:rPr>
          <w:rFonts w:ascii="Tahoma" w:hAnsi="Tahoma" w:cs="Tahoma"/>
          <w:sz w:val="17"/>
          <w:szCs w:val="17"/>
        </w:rPr>
        <w:lastRenderedPageBreak/>
        <w:t>In the event of any default in the prepayment of the loan evidenced by the Note or in the performance of the terms and conditions of the Security Instrument during the Buydown Period, any Buydown Funds which have not been applied by the holder of the Note will be first applied to the accrued interest and late charges, which are due and payable, and then to the unpaid principal balance of the Note.</w:t>
      </w:r>
    </w:p>
    <w:p w14:paraId="1BB33112" w14:textId="77777777" w:rsidR="00975C29" w:rsidRDefault="00975C29">
      <w:pPr>
        <w:numPr>
          <w:ilvl w:val="0"/>
          <w:numId w:val="2"/>
        </w:numPr>
        <w:kinsoku w:val="0"/>
        <w:overflowPunct w:val="0"/>
        <w:autoSpaceDE/>
        <w:autoSpaceDN/>
        <w:adjustRightInd/>
        <w:spacing w:before="284" w:line="236" w:lineRule="exact"/>
        <w:textAlignment w:val="baseline"/>
        <w:rPr>
          <w:rFonts w:ascii="Tahoma" w:hAnsi="Tahoma" w:cs="Tahoma"/>
          <w:spacing w:val="3"/>
          <w:sz w:val="17"/>
          <w:szCs w:val="17"/>
        </w:rPr>
      </w:pPr>
      <w:r>
        <w:rPr>
          <w:rFonts w:ascii="Tahoma" w:hAnsi="Tahoma" w:cs="Tahoma"/>
          <w:spacing w:val="3"/>
          <w:sz w:val="17"/>
          <w:szCs w:val="17"/>
        </w:rPr>
        <w:t>In the event the property described in the Security Instrument is sold by the Borrower during the Buydown Period and the new purchaser assumes the Note with the consent of the Lender or assigns, the remaining balance of the Buydown Funds shall be used pursuant to this Agreement to lower the new purchaser's monthly payment on the Note for the remainder of the buydown period. If upon such an assumption, the interest rate set forth in the note is changed, the Lender may adjust the payment rate set forth in Section 3 above or adjust the length of the Buydown Period or both. In no event shall the total Buydown Period, including any such adjustment, exceed 24 months.</w:t>
      </w:r>
    </w:p>
    <w:p w14:paraId="446E50FC" w14:textId="77777777" w:rsidR="00975C29" w:rsidRDefault="00975C29">
      <w:pPr>
        <w:numPr>
          <w:ilvl w:val="0"/>
          <w:numId w:val="2"/>
        </w:numPr>
        <w:kinsoku w:val="0"/>
        <w:overflowPunct w:val="0"/>
        <w:autoSpaceDE/>
        <w:autoSpaceDN/>
        <w:adjustRightInd/>
        <w:spacing w:before="266" w:line="231" w:lineRule="exact"/>
        <w:textAlignment w:val="baseline"/>
        <w:rPr>
          <w:rFonts w:ascii="Tahoma" w:hAnsi="Tahoma" w:cs="Tahoma"/>
          <w:sz w:val="17"/>
          <w:szCs w:val="17"/>
        </w:rPr>
      </w:pPr>
      <w:r>
        <w:rPr>
          <w:rFonts w:ascii="Tahoma" w:hAnsi="Tahoma" w:cs="Tahoma"/>
          <w:sz w:val="17"/>
          <w:szCs w:val="17"/>
        </w:rPr>
        <w:t>The Lender accepts the Buydown funds in accordance with the terms of this Agreement. The sole responsibility of the Lender and its assigns under this Agreement is the holding and proper application of the Buydown funds in accordance with this Agreement and the Lender shall have no duty to invest the Buydown Funds. All responsibility hereunder of the Lender and its assigns terminates upon depletion or retention or the application of the Buydown Funds to the Note as provided in this Agreement.</w:t>
      </w:r>
    </w:p>
    <w:p w14:paraId="5725BE65" w14:textId="77777777" w:rsidR="00975C29" w:rsidRDefault="00975C29">
      <w:pPr>
        <w:numPr>
          <w:ilvl w:val="0"/>
          <w:numId w:val="2"/>
        </w:numPr>
        <w:kinsoku w:val="0"/>
        <w:overflowPunct w:val="0"/>
        <w:autoSpaceDE/>
        <w:autoSpaceDN/>
        <w:adjustRightInd/>
        <w:spacing w:before="293" w:line="217" w:lineRule="exact"/>
        <w:textAlignment w:val="baseline"/>
        <w:rPr>
          <w:rFonts w:ascii="Tahoma" w:hAnsi="Tahoma" w:cs="Tahoma"/>
          <w:spacing w:val="2"/>
          <w:sz w:val="17"/>
          <w:szCs w:val="17"/>
        </w:rPr>
      </w:pPr>
      <w:r>
        <w:rPr>
          <w:rFonts w:ascii="Tahoma" w:hAnsi="Tahoma" w:cs="Tahoma"/>
          <w:spacing w:val="2"/>
          <w:sz w:val="17"/>
          <w:szCs w:val="17"/>
        </w:rPr>
        <w:t>Neither the Lender nor the assigns shall pay interest on the Buydown Funds.</w:t>
      </w:r>
    </w:p>
    <w:p w14:paraId="5E060347" w14:textId="77777777" w:rsidR="00975C29" w:rsidRDefault="00975C29">
      <w:pPr>
        <w:numPr>
          <w:ilvl w:val="0"/>
          <w:numId w:val="3"/>
        </w:numPr>
        <w:kinsoku w:val="0"/>
        <w:overflowPunct w:val="0"/>
        <w:autoSpaceDE/>
        <w:autoSpaceDN/>
        <w:adjustRightInd/>
        <w:spacing w:before="274" w:line="230" w:lineRule="exact"/>
        <w:ind w:right="72"/>
        <w:textAlignment w:val="baseline"/>
        <w:rPr>
          <w:rFonts w:ascii="Tahoma" w:hAnsi="Tahoma" w:cs="Tahoma"/>
          <w:sz w:val="17"/>
          <w:szCs w:val="17"/>
        </w:rPr>
      </w:pPr>
      <w:r>
        <w:rPr>
          <w:rFonts w:ascii="Tahoma" w:hAnsi="Tahoma" w:cs="Tahoma"/>
          <w:sz w:val="17"/>
          <w:szCs w:val="17"/>
        </w:rPr>
        <w:t>If, for any reason the Buydown Funds are not available, the Borrower will be responsible for the full monthly payments on the Note as provided therein. After the Buydown Funds have been exhausted, the Borrower will be responsible for the full monthly payment on the Note as provided therein.</w:t>
      </w:r>
    </w:p>
    <w:p w14:paraId="27B8ABC9" w14:textId="77777777" w:rsidR="00975C29" w:rsidRDefault="00975C29">
      <w:pPr>
        <w:kinsoku w:val="0"/>
        <w:overflowPunct w:val="0"/>
        <w:autoSpaceDE/>
        <w:autoSpaceDN/>
        <w:adjustRightInd/>
        <w:spacing w:before="256" w:after="652" w:line="216" w:lineRule="exact"/>
        <w:ind w:left="72"/>
        <w:textAlignment w:val="baseline"/>
        <w:rPr>
          <w:rFonts w:ascii="Tahoma" w:hAnsi="Tahoma" w:cs="Tahoma"/>
          <w:b/>
          <w:bCs/>
          <w:spacing w:val="-6"/>
          <w:sz w:val="17"/>
          <w:szCs w:val="17"/>
        </w:rPr>
      </w:pPr>
      <w:r>
        <w:rPr>
          <w:rFonts w:ascii="Tahoma" w:hAnsi="Tahoma" w:cs="Tahoma"/>
          <w:b/>
          <w:bCs/>
          <w:spacing w:val="-6"/>
          <w:sz w:val="17"/>
          <w:szCs w:val="17"/>
        </w:rPr>
        <w:t>IN WITNESS WHEROF, the parties hereto have executed this agreement.</w:t>
      </w:r>
    </w:p>
    <w:p w14:paraId="72A3148F" w14:textId="2EBE40AF" w:rsidR="00975C29" w:rsidRDefault="008138A5">
      <w:pPr>
        <w:tabs>
          <w:tab w:val="left" w:pos="3024"/>
        </w:tabs>
        <w:kinsoku w:val="0"/>
        <w:overflowPunct w:val="0"/>
        <w:autoSpaceDE/>
        <w:autoSpaceDN/>
        <w:adjustRightInd/>
        <w:spacing w:before="50" w:after="626" w:line="206" w:lineRule="exact"/>
        <w:ind w:left="72"/>
        <w:textAlignment w:val="baseline"/>
        <w:rPr>
          <w:rFonts w:ascii="Tahoma" w:hAnsi="Tahoma" w:cs="Tahoma"/>
          <w:b/>
          <w:bCs/>
          <w:sz w:val="17"/>
          <w:szCs w:val="17"/>
        </w:rPr>
      </w:pPr>
      <w:r>
        <w:rPr>
          <w:noProof/>
        </w:rPr>
        <w:pict w14:anchorId="1BFCDC45">
          <v:line id="_x0000_s1031" style="position:absolute;left:0;text-align:left;z-index:251664384;mso-wrap-distance-left:0;mso-wrap-distance-right:0;mso-position-horizontal-relative:page;mso-position-vertical-relative:page" from="53.2pt,435pt" to="223.5pt,435pt" o:allowincell="f" strokeweight=".95pt">
            <w10:wrap type="square" anchorx="page" anchory="page"/>
          </v:line>
        </w:pict>
      </w:r>
      <w:r w:rsidR="00975C29">
        <w:rPr>
          <w:noProof/>
        </w:rPr>
        <w:pict w14:anchorId="723AB548">
          <v:line id="_x0000_s1027" style="position:absolute;left:0;text-align:left;z-index:251659264;mso-wrap-distance-left:0;mso-wrap-distance-right:0;mso-position-horizontal-relative:page;mso-position-vertical-relative:page" from="53.2pt,395.65pt" to="223.5pt,395.65pt" o:allowincell="f" strokeweight=".95pt">
            <w10:wrap type="square" anchorx="page" anchory="page"/>
          </v:line>
        </w:pict>
      </w:r>
      <w:r w:rsidR="00975C29">
        <w:rPr>
          <w:rFonts w:ascii="Tahoma" w:hAnsi="Tahoma" w:cs="Tahoma"/>
          <w:b/>
          <w:bCs/>
          <w:sz w:val="17"/>
          <w:szCs w:val="17"/>
        </w:rPr>
        <w:t>Provider of Funds</w:t>
      </w:r>
      <w:r w:rsidR="00975C29">
        <w:rPr>
          <w:rFonts w:ascii="Tahoma" w:hAnsi="Tahoma" w:cs="Tahoma"/>
          <w:b/>
          <w:bCs/>
          <w:sz w:val="17"/>
          <w:szCs w:val="17"/>
        </w:rPr>
        <w:tab/>
        <w:t>Date</w:t>
      </w:r>
    </w:p>
    <w:p w14:paraId="5D419CA3" w14:textId="53C456C9" w:rsidR="008138A5" w:rsidRDefault="008138A5" w:rsidP="008138A5">
      <w:pPr>
        <w:tabs>
          <w:tab w:val="left" w:pos="3024"/>
        </w:tabs>
        <w:kinsoku w:val="0"/>
        <w:overflowPunct w:val="0"/>
        <w:autoSpaceDE/>
        <w:autoSpaceDN/>
        <w:adjustRightInd/>
        <w:spacing w:before="50" w:after="626" w:line="206" w:lineRule="exact"/>
        <w:ind w:left="72"/>
        <w:textAlignment w:val="baseline"/>
        <w:rPr>
          <w:rFonts w:ascii="Tahoma" w:hAnsi="Tahoma" w:cs="Tahoma"/>
          <w:b/>
          <w:bCs/>
          <w:sz w:val="17"/>
          <w:szCs w:val="17"/>
        </w:rPr>
      </w:pPr>
      <w:r>
        <w:rPr>
          <w:rFonts w:ascii="Tahoma" w:hAnsi="Tahoma" w:cs="Tahoma"/>
          <w:b/>
          <w:bCs/>
          <w:noProof/>
          <w:sz w:val="17"/>
          <w:szCs w:val="17"/>
        </w:rPr>
        <w:pict w14:anchorId="1BFCDC45">
          <v:line id="_x0000_s1032" style="position:absolute;left:0;text-align:left;z-index:251665408;mso-wrap-distance-left:0;mso-wrap-distance-right:0;mso-position-horizontal-relative:page;mso-position-vertical-relative:page" from="55.4pt,479.25pt" to="225.7pt,479.25pt" o:allowincell="f" strokeweight=".95pt">
            <w10:wrap type="square" anchorx="page" anchory="page"/>
          </v:line>
        </w:pict>
      </w:r>
      <w:r w:rsidR="00CA2A52">
        <w:rPr>
          <w:noProof/>
        </w:rPr>
        <w:pict w14:anchorId="1BFCDC45">
          <v:line id="_x0000_s1030" style="position:absolute;left:0;text-align:left;z-index:251663360;mso-wrap-distance-left:0;mso-wrap-distance-right:0;mso-position-horizontal-relative:page;mso-position-vertical-relative:page" from="53.2pt,395.65pt" to="223.5pt,395.65pt" o:allowincell="f" strokeweight=".95pt">
            <w10:wrap type="square" anchorx="page" anchory="page"/>
          </v:line>
        </w:pict>
      </w:r>
      <w:r>
        <w:rPr>
          <w:rFonts w:ascii="Tahoma" w:hAnsi="Tahoma" w:cs="Tahoma"/>
          <w:b/>
          <w:bCs/>
          <w:sz w:val="17"/>
          <w:szCs w:val="17"/>
        </w:rPr>
        <w:t>Borrower</w:t>
      </w:r>
      <w:r w:rsidR="00CA2A52">
        <w:rPr>
          <w:rFonts w:ascii="Tahoma" w:hAnsi="Tahoma" w:cs="Tahoma"/>
          <w:b/>
          <w:bCs/>
          <w:sz w:val="17"/>
          <w:szCs w:val="17"/>
        </w:rPr>
        <w:tab/>
        <w:t>Date</w:t>
      </w:r>
      <w:r>
        <w:rPr>
          <w:rFonts w:ascii="Tahoma" w:hAnsi="Tahoma" w:cs="Tahoma"/>
          <w:b/>
          <w:bCs/>
          <w:sz w:val="17"/>
          <w:szCs w:val="17"/>
        </w:rPr>
        <w:tab/>
      </w:r>
      <w:r>
        <w:rPr>
          <w:rFonts w:ascii="Tahoma" w:hAnsi="Tahoma" w:cs="Tahoma"/>
          <w:b/>
          <w:bCs/>
          <w:sz w:val="17"/>
          <w:szCs w:val="17"/>
        </w:rPr>
        <w:tab/>
      </w:r>
      <w:r>
        <w:rPr>
          <w:rFonts w:ascii="Tahoma" w:hAnsi="Tahoma" w:cs="Tahoma"/>
          <w:b/>
          <w:bCs/>
          <w:sz w:val="17"/>
          <w:szCs w:val="17"/>
        </w:rPr>
        <w:tab/>
      </w:r>
    </w:p>
    <w:p w14:paraId="4DCB43F0" w14:textId="3D05EA2E" w:rsidR="00CA2A52" w:rsidRDefault="008138A5" w:rsidP="008138A5">
      <w:pPr>
        <w:tabs>
          <w:tab w:val="left" w:pos="3024"/>
        </w:tabs>
        <w:kinsoku w:val="0"/>
        <w:overflowPunct w:val="0"/>
        <w:autoSpaceDE/>
        <w:autoSpaceDN/>
        <w:adjustRightInd/>
        <w:spacing w:before="50" w:after="626" w:line="206" w:lineRule="exact"/>
        <w:ind w:left="72"/>
        <w:textAlignment w:val="baseline"/>
        <w:rPr>
          <w:sz w:val="24"/>
          <w:szCs w:val="24"/>
        </w:rPr>
      </w:pPr>
      <w:r>
        <w:rPr>
          <w:rFonts w:ascii="Tahoma" w:hAnsi="Tahoma" w:cs="Tahoma"/>
          <w:b/>
          <w:bCs/>
          <w:sz w:val="17"/>
          <w:szCs w:val="17"/>
        </w:rPr>
        <w:t>Borrower</w:t>
      </w:r>
      <w:r>
        <w:rPr>
          <w:rFonts w:ascii="Tahoma" w:hAnsi="Tahoma" w:cs="Tahoma"/>
          <w:b/>
          <w:bCs/>
          <w:sz w:val="17"/>
          <w:szCs w:val="17"/>
        </w:rPr>
        <w:tab/>
        <w:t xml:space="preserve">Date </w:t>
      </w:r>
    </w:p>
    <w:p w14:paraId="463661DE" w14:textId="77777777" w:rsidR="00975C29" w:rsidRDefault="00975C29">
      <w:pPr>
        <w:widowControl/>
        <w:rPr>
          <w:sz w:val="24"/>
          <w:szCs w:val="24"/>
        </w:rPr>
      </w:pPr>
    </w:p>
    <w:p w14:paraId="4CCF7020" w14:textId="5234949E" w:rsidR="00CA2A52" w:rsidRDefault="00CA2A52">
      <w:pPr>
        <w:widowControl/>
        <w:rPr>
          <w:sz w:val="24"/>
          <w:szCs w:val="24"/>
        </w:rPr>
        <w:sectPr w:rsidR="00CA2A52">
          <w:pgSz w:w="12242" w:h="15840"/>
          <w:pgMar w:top="1240" w:right="1018" w:bottom="844" w:left="1064" w:header="720" w:footer="720" w:gutter="0"/>
          <w:cols w:space="720"/>
          <w:noEndnote/>
        </w:sectPr>
      </w:pPr>
    </w:p>
    <w:p w14:paraId="008B8E33" w14:textId="01F24265" w:rsidR="008138A5" w:rsidRDefault="00975C29">
      <w:pPr>
        <w:tabs>
          <w:tab w:val="left" w:pos="2664"/>
          <w:tab w:val="right" w:pos="4464"/>
        </w:tabs>
        <w:kinsoku w:val="0"/>
        <w:overflowPunct w:val="0"/>
        <w:autoSpaceDE/>
        <w:autoSpaceDN/>
        <w:adjustRightInd/>
        <w:spacing w:before="13" w:after="3935" w:line="207" w:lineRule="exact"/>
        <w:textAlignment w:val="baseline"/>
        <w:rPr>
          <w:rFonts w:ascii="Tahoma" w:hAnsi="Tahoma" w:cs="Tahoma"/>
          <w:b/>
          <w:bCs/>
          <w:sz w:val="17"/>
          <w:szCs w:val="17"/>
        </w:rPr>
      </w:pPr>
      <w:r>
        <w:rPr>
          <w:noProof/>
        </w:rPr>
        <w:pict w14:anchorId="0CB662B5">
          <v:line id="_x0000_s1028" style="position:absolute;z-index:251660288;mso-wrap-distance-left:0;mso-wrap-distance-right:0;mso-position-horizontal-relative:text;mso-position-vertical-relative:text" from="-.45pt,-1.25pt" to="167.65pt,-1.25pt" o:allowincell="f" strokeweight=".95pt">
            <w10:wrap type="square"/>
          </v:line>
        </w:pict>
      </w:r>
      <w:r>
        <w:rPr>
          <w:noProof/>
        </w:rPr>
        <w:pict w14:anchorId="4BF57732">
          <v:line id="_x0000_s1029" style="position:absolute;z-index:251661312;mso-wrap-distance-left:0;mso-wrap-distance-right:0;mso-position-horizontal-relative:text;mso-position-vertical-relative:text" from="207.1pt,-.55pt" to="375.2pt,-.55pt" o:allowincell="f" strokeweight=".95pt">
            <w10:wrap type="square"/>
          </v:line>
        </w:pict>
      </w:r>
      <w:r>
        <w:rPr>
          <w:rFonts w:ascii="Tahoma" w:hAnsi="Tahoma" w:cs="Tahoma"/>
          <w:b/>
          <w:bCs/>
          <w:sz w:val="17"/>
          <w:szCs w:val="17"/>
        </w:rPr>
        <w:t xml:space="preserve"> </w:t>
      </w:r>
      <w:r w:rsidR="00CA2A52">
        <w:rPr>
          <w:rFonts w:ascii="Tahoma" w:hAnsi="Tahoma" w:cs="Tahoma"/>
          <w:b/>
          <w:bCs/>
          <w:sz w:val="17"/>
          <w:szCs w:val="17"/>
        </w:rPr>
        <w:t>Lender R</w:t>
      </w:r>
      <w:r>
        <w:rPr>
          <w:rFonts w:ascii="Tahoma" w:hAnsi="Tahoma" w:cs="Tahoma"/>
          <w:b/>
          <w:bCs/>
          <w:sz w:val="17"/>
          <w:szCs w:val="17"/>
        </w:rPr>
        <w:t>epresentative</w:t>
      </w:r>
      <w:r>
        <w:rPr>
          <w:rFonts w:ascii="Tahoma" w:hAnsi="Tahoma" w:cs="Tahoma"/>
          <w:b/>
          <w:bCs/>
          <w:sz w:val="17"/>
          <w:szCs w:val="17"/>
        </w:rPr>
        <w:tab/>
        <w:t>Date</w:t>
      </w:r>
      <w:r>
        <w:rPr>
          <w:rFonts w:ascii="Tahoma" w:hAnsi="Tahoma" w:cs="Tahoma"/>
          <w:b/>
          <w:bCs/>
          <w:sz w:val="17"/>
          <w:szCs w:val="17"/>
        </w:rPr>
        <w:tab/>
        <w:t>Titl</w:t>
      </w:r>
      <w:r w:rsidR="008138A5">
        <w:rPr>
          <w:rFonts w:ascii="Tahoma" w:hAnsi="Tahoma" w:cs="Tahoma"/>
          <w:b/>
          <w:bCs/>
          <w:sz w:val="17"/>
          <w:szCs w:val="17"/>
        </w:rPr>
        <w:t>e</w:t>
      </w:r>
    </w:p>
    <w:sectPr w:rsidR="008138A5" w:rsidSect="00975C29">
      <w:type w:val="continuous"/>
      <w:pgSz w:w="12242" w:h="15840"/>
      <w:pgMar w:top="1240" w:right="2119" w:bottom="844" w:left="110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1B49" w14:textId="77777777" w:rsidR="008138A5" w:rsidRDefault="008138A5" w:rsidP="008138A5">
      <w:r>
        <w:separator/>
      </w:r>
    </w:p>
  </w:endnote>
  <w:endnote w:type="continuationSeparator" w:id="0">
    <w:p w14:paraId="05848625" w14:textId="77777777" w:rsidR="008138A5" w:rsidRDefault="008138A5" w:rsidP="0081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13CE" w14:textId="2C9EEA20" w:rsidR="008138A5" w:rsidRDefault="008138A5" w:rsidP="008138A5">
    <w:pPr>
      <w:tabs>
        <w:tab w:val="right" w:pos="9000"/>
      </w:tabs>
      <w:kinsoku w:val="0"/>
      <w:overflowPunct w:val="0"/>
      <w:autoSpaceDE/>
      <w:autoSpaceDN/>
      <w:adjustRightInd/>
      <w:spacing w:line="221" w:lineRule="exact"/>
      <w:textAlignment w:val="baseline"/>
      <w:rPr>
        <w:rFonts w:ascii="Tahoma" w:hAnsi="Tahoma" w:cs="Tahoma"/>
        <w:b/>
        <w:bCs/>
        <w:sz w:val="17"/>
        <w:szCs w:val="17"/>
      </w:rPr>
    </w:pPr>
    <w:r>
      <w:rPr>
        <w:rFonts w:ascii="Tahoma" w:hAnsi="Tahoma" w:cs="Tahoma"/>
        <w:sz w:val="17"/>
        <w:szCs w:val="17"/>
      </w:rPr>
      <w:t>Temporary Buydown Agreement (Closing)</w:t>
    </w:r>
    <w:r>
      <w:rPr>
        <w:rFonts w:ascii="Tahoma" w:hAnsi="Tahoma" w:cs="Tahoma"/>
        <w:sz w:val="17"/>
        <w:szCs w:val="17"/>
      </w:rPr>
      <w:tab/>
      <w:t xml:space="preserve">Page </w:t>
    </w:r>
    <w:r>
      <w:rPr>
        <w:rFonts w:ascii="Tahoma" w:hAnsi="Tahoma" w:cs="Tahoma"/>
        <w:sz w:val="17"/>
        <w:szCs w:val="17"/>
      </w:rPr>
      <w:t>1</w:t>
    </w:r>
    <w:r>
      <w:rPr>
        <w:rFonts w:ascii="Tahoma" w:hAnsi="Tahoma" w:cs="Tahoma"/>
        <w:b/>
        <w:bCs/>
        <w:sz w:val="17"/>
        <w:szCs w:val="17"/>
      </w:rPr>
      <w:t xml:space="preserve"> of 2</w:t>
    </w:r>
  </w:p>
  <w:p w14:paraId="78058C26" w14:textId="77777777" w:rsidR="008138A5" w:rsidRDefault="0081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A3EA" w14:textId="77777777" w:rsidR="008138A5" w:rsidRDefault="008138A5" w:rsidP="008138A5">
      <w:r>
        <w:separator/>
      </w:r>
    </w:p>
  </w:footnote>
  <w:footnote w:type="continuationSeparator" w:id="0">
    <w:p w14:paraId="021409EE" w14:textId="77777777" w:rsidR="008138A5" w:rsidRDefault="008138A5" w:rsidP="00813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8231"/>
    <w:multiLevelType w:val="singleLevel"/>
    <w:tmpl w:val="FFFFFFFF"/>
    <w:lvl w:ilvl="0">
      <w:start w:val="6"/>
      <w:numFmt w:val="decimal"/>
      <w:lvlText w:val="%1."/>
      <w:lvlJc w:val="left"/>
      <w:pPr>
        <w:tabs>
          <w:tab w:val="num" w:pos="792"/>
        </w:tabs>
        <w:ind w:left="792" w:hanging="360"/>
      </w:pPr>
      <w:rPr>
        <w:rFonts w:ascii="Tahoma" w:hAnsi="Tahoma" w:cs="Tahoma"/>
        <w:snapToGrid/>
        <w:sz w:val="17"/>
        <w:szCs w:val="17"/>
      </w:rPr>
    </w:lvl>
  </w:abstractNum>
  <w:abstractNum w:abstractNumId="1" w15:restartNumberingAfterBreak="0">
    <w:nsid w:val="069EED21"/>
    <w:multiLevelType w:val="singleLevel"/>
    <w:tmpl w:val="FFFFFFFF"/>
    <w:lvl w:ilvl="0">
      <w:start w:val="1"/>
      <w:numFmt w:val="decimal"/>
      <w:lvlText w:val="%1."/>
      <w:lvlJc w:val="left"/>
      <w:pPr>
        <w:tabs>
          <w:tab w:val="num" w:pos="720"/>
        </w:tabs>
        <w:ind w:left="720" w:hanging="360"/>
      </w:pPr>
      <w:rPr>
        <w:rFonts w:ascii="Tahoma" w:hAnsi="Tahoma" w:cs="Tahoma"/>
        <w:snapToGrid/>
        <w:sz w:val="17"/>
        <w:szCs w:val="17"/>
      </w:rPr>
    </w:lvl>
  </w:abstractNum>
  <w:num w:numId="1" w16cid:durableId="1715033258">
    <w:abstractNumId w:val="1"/>
  </w:num>
  <w:num w:numId="2" w16cid:durableId="1306351216">
    <w:abstractNumId w:val="0"/>
  </w:num>
  <w:num w:numId="3" w16cid:durableId="1624729574">
    <w:abstractNumId w:val="0"/>
    <w:lvlOverride w:ilvl="0">
      <w:lvl w:ilvl="0">
        <w:numFmt w:val="decimal"/>
        <w:lvlText w:val="%1."/>
        <w:lvlJc w:val="left"/>
        <w:pPr>
          <w:tabs>
            <w:tab w:val="num" w:pos="792"/>
          </w:tabs>
          <w:ind w:left="792" w:hanging="360"/>
        </w:pPr>
        <w:rPr>
          <w:rFonts w:ascii="Tahoma" w:hAnsi="Tahoma" w:cs="Tahoma"/>
          <w:snapToGrid/>
          <w:sz w:val="17"/>
          <w:szCs w:val="1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75C29"/>
    <w:rsid w:val="008138A5"/>
    <w:rsid w:val="00975C29"/>
    <w:rsid w:val="00CA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BC5E2A9"/>
  <w14:defaultImageDpi w14:val="0"/>
  <w15:docId w15:val="{E0F56D4D-667D-48F9-B634-B52A6F85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8A5"/>
    <w:pPr>
      <w:tabs>
        <w:tab w:val="center" w:pos="4680"/>
        <w:tab w:val="right" w:pos="9360"/>
      </w:tabs>
    </w:pPr>
  </w:style>
  <w:style w:type="character" w:customStyle="1" w:styleId="HeaderChar">
    <w:name w:val="Header Char"/>
    <w:basedOn w:val="DefaultParagraphFont"/>
    <w:link w:val="Header"/>
    <w:uiPriority w:val="99"/>
    <w:rsid w:val="008138A5"/>
    <w:rPr>
      <w:rFonts w:ascii="Times New Roman" w:hAnsi="Times New Roman" w:cs="Times New Roman"/>
      <w:sz w:val="20"/>
      <w:szCs w:val="20"/>
    </w:rPr>
  </w:style>
  <w:style w:type="paragraph" w:styleId="Footer">
    <w:name w:val="footer"/>
    <w:basedOn w:val="Normal"/>
    <w:link w:val="FooterChar"/>
    <w:uiPriority w:val="99"/>
    <w:unhideWhenUsed/>
    <w:rsid w:val="008138A5"/>
    <w:pPr>
      <w:tabs>
        <w:tab w:val="center" w:pos="4680"/>
        <w:tab w:val="right" w:pos="9360"/>
      </w:tabs>
    </w:pPr>
  </w:style>
  <w:style w:type="character" w:customStyle="1" w:styleId="FooterChar">
    <w:name w:val="Footer Char"/>
    <w:basedOn w:val="DefaultParagraphFont"/>
    <w:link w:val="Footer"/>
    <w:uiPriority w:val="99"/>
    <w:rsid w:val="008138A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1A6DA326BA54189697B52AF06B61D" ma:contentTypeVersion="12" ma:contentTypeDescription="Create a new document." ma:contentTypeScope="" ma:versionID="66f107c1a0c748b9e005b3b2f727b0c1">
  <xsd:schema xmlns:xsd="http://www.w3.org/2001/XMLSchema" xmlns:xs="http://www.w3.org/2001/XMLSchema" xmlns:p="http://schemas.microsoft.com/office/2006/metadata/properties" xmlns:ns2="3c6cc31d-68ae-48ed-9cd7-61a86689f0c6" xmlns:ns3="db9ed2a7-1171-4324-9e24-e0b7b3f64475" targetNamespace="http://schemas.microsoft.com/office/2006/metadata/properties" ma:root="true" ma:fieldsID="cb1ec29cc6d8bda1e812699f657687ad" ns2:_="" ns3:_="">
    <xsd:import namespace="3c6cc31d-68ae-48ed-9cd7-61a86689f0c6"/>
    <xsd:import namespace="db9ed2a7-1171-4324-9e24-e0b7b3f6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cc31d-68ae-48ed-9cd7-61a86689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ed2a7-1171-4324-9e24-e0b7b3f644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B7FA1-2B61-4EAF-9DC7-80338B966E43}"/>
</file>

<file path=customXml/itemProps2.xml><?xml version="1.0" encoding="utf-8"?>
<ds:datastoreItem xmlns:ds="http://schemas.openxmlformats.org/officeDocument/2006/customXml" ds:itemID="{180C6952-18FB-4ACF-824E-8DDEE0945B97}"/>
</file>

<file path=customXml/itemProps3.xml><?xml version="1.0" encoding="utf-8"?>
<ds:datastoreItem xmlns:ds="http://schemas.openxmlformats.org/officeDocument/2006/customXml" ds:itemID="{FA0D3DA1-329B-4ABF-B620-B057A232A9C8}"/>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Susini</dc:creator>
  <cp:keywords/>
  <dc:description/>
  <cp:lastModifiedBy>Danielle Susini</cp:lastModifiedBy>
  <cp:revision>2</cp:revision>
  <dcterms:created xsi:type="dcterms:W3CDTF">2022-08-09T16:52:00Z</dcterms:created>
  <dcterms:modified xsi:type="dcterms:W3CDTF">2022-08-09T16:52:00Z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0x0101000B61A6DA326BA54189697B52AF06B61D</vt:lpwstr>
  </property>
</Properties>
</file>